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E5" w:rsidRPr="006644E5" w:rsidRDefault="006644E5" w:rsidP="006644E5">
      <w:pPr>
        <w:shd w:val="clear" w:color="auto" w:fill="FFFFFF"/>
        <w:spacing w:before="240" w:after="240" w:line="270" w:lineRule="atLeast"/>
        <w:jc w:val="center"/>
        <w:rPr>
          <w:rFonts w:ascii="Arial" w:eastAsia="Times New Roman" w:hAnsi="Arial" w:cs="Arial"/>
          <w:color w:val="3C3C3C"/>
          <w:sz w:val="24"/>
          <w:szCs w:val="24"/>
          <w:lang w:eastAsia="ru-RU"/>
        </w:rPr>
      </w:pPr>
      <w:bookmarkStart w:id="0" w:name="_GoBack"/>
      <w:bookmarkEnd w:id="0"/>
      <w:r w:rsidRPr="006644E5">
        <w:rPr>
          <w:rFonts w:ascii="Arial" w:eastAsia="Times New Roman" w:hAnsi="Arial" w:cs="Arial"/>
          <w:color w:val="3C3C3C"/>
          <w:sz w:val="24"/>
          <w:szCs w:val="24"/>
          <w:lang w:eastAsia="ru-RU"/>
        </w:rPr>
        <w:t>Приложение №2 к приказу Министерства здравоохранения РФ от 21 марта 2014 г. N 125н «Об утверждении национального календаря профилактических прививок и календаря профилактических прививок по эпидемическим показаниям».</w:t>
      </w:r>
    </w:p>
    <w:tbl>
      <w:tblPr>
        <w:tblW w:w="9360"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05" w:type="dxa"/>
          <w:left w:w="105" w:type="dxa"/>
          <w:bottom w:w="105" w:type="dxa"/>
          <w:right w:w="105" w:type="dxa"/>
        </w:tblCellMar>
        <w:tblLook w:val="04A0" w:firstRow="1" w:lastRow="0" w:firstColumn="1" w:lastColumn="0" w:noHBand="0" w:noVBand="1"/>
      </w:tblPr>
      <w:tblGrid>
        <w:gridCol w:w="3010"/>
        <w:gridCol w:w="6350"/>
      </w:tblGrid>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DEEAF6"/>
            <w:hideMark/>
          </w:tcPr>
          <w:p w:rsidR="006644E5" w:rsidRPr="006644E5" w:rsidRDefault="006644E5" w:rsidP="006644E5">
            <w:pPr>
              <w:spacing w:before="240" w:after="240" w:line="270" w:lineRule="atLeast"/>
              <w:jc w:val="center"/>
              <w:rPr>
                <w:rFonts w:ascii="Arial" w:eastAsia="Times New Roman" w:hAnsi="Arial" w:cs="Arial"/>
                <w:color w:val="3C3C3C"/>
                <w:sz w:val="24"/>
                <w:szCs w:val="24"/>
                <w:lang w:eastAsia="ru-RU"/>
              </w:rPr>
            </w:pPr>
            <w:r w:rsidRPr="006644E5">
              <w:rPr>
                <w:rFonts w:ascii="Arial" w:eastAsia="Times New Roman" w:hAnsi="Arial" w:cs="Arial"/>
                <w:b/>
                <w:bCs/>
                <w:color w:val="3C3C3C"/>
                <w:sz w:val="24"/>
                <w:szCs w:val="24"/>
                <w:lang w:eastAsia="ru-RU"/>
              </w:rPr>
              <w:t>Наименование профилактической прививки</w:t>
            </w:r>
          </w:p>
        </w:tc>
        <w:tc>
          <w:tcPr>
            <w:tcW w:w="6045" w:type="dxa"/>
            <w:tcBorders>
              <w:top w:val="outset" w:sz="6" w:space="0" w:color="auto"/>
              <w:left w:val="outset" w:sz="6" w:space="0" w:color="auto"/>
              <w:bottom w:val="outset" w:sz="6" w:space="0" w:color="auto"/>
              <w:right w:val="outset" w:sz="6" w:space="0" w:color="auto"/>
            </w:tcBorders>
            <w:shd w:val="clear" w:color="auto" w:fill="DEEAF6"/>
            <w:hideMark/>
          </w:tcPr>
          <w:p w:rsidR="006644E5" w:rsidRPr="006644E5" w:rsidRDefault="006644E5" w:rsidP="006644E5">
            <w:pPr>
              <w:spacing w:before="240" w:after="240" w:line="270" w:lineRule="atLeast"/>
              <w:jc w:val="center"/>
              <w:rPr>
                <w:rFonts w:ascii="Arial" w:eastAsia="Times New Roman" w:hAnsi="Arial" w:cs="Arial"/>
                <w:color w:val="3C3C3C"/>
                <w:sz w:val="24"/>
                <w:szCs w:val="24"/>
                <w:lang w:eastAsia="ru-RU"/>
              </w:rPr>
            </w:pPr>
            <w:r w:rsidRPr="006644E5">
              <w:rPr>
                <w:rFonts w:ascii="Arial" w:eastAsia="Times New Roman" w:hAnsi="Arial" w:cs="Arial"/>
                <w:b/>
                <w:bCs/>
                <w:color w:val="3C3C3C"/>
                <w:sz w:val="24"/>
                <w:szCs w:val="24"/>
                <w:lang w:eastAsia="ru-RU"/>
              </w:rPr>
              <w:t>Категории граждан, подлежащих обязательной вакцинации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туляремии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проживающие на энзоотичных по туляремии территориях, а также прибывшие на эти территории лица, выполняющие следующие работы: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proofErr w:type="gramStart"/>
            <w:r w:rsidRPr="006644E5">
              <w:rPr>
                <w:rFonts w:ascii="Arial" w:eastAsia="Times New Roman" w:hAnsi="Arial" w:cs="Arial"/>
                <w:color w:val="3C3C3C"/>
                <w:sz w:val="24"/>
                <w:szCs w:val="24"/>
                <w:lang w:eastAsia="ru-RU"/>
              </w:rPr>
              <w:t>- сельскохозяйственные, гидромелиоративные, строительные, другие работы по выемке и перемещению грунта, заготовительные, промысловые, геологические, изыскательские, экспедиционные, дератизационные</w:t>
            </w:r>
            <w:proofErr w:type="gramEnd"/>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и дезинсекционные;</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лесозаготовке, расчистке и благоустройству леса, зон оздоровления и отдыха населения.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возбудителя туляремии.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чумы</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проживающие на энзоотичных по чуме территориях. Лица, работающие с живыми культурами возбудителя чумы.</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бруцеллеза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В очагах козье-овечьего типа бруцеллеза лица, выполняющие следующие работы: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заготовке, хранению, обработке сырья и продуктов животноводства, полученных из хозяйств, где регистрируются заболевания скота бруцеллезом;</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убою скота, больного бруцеллезом, заготовке</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и переработке полученных от него мяса и мясопродуктов.</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Животноводы, ветеринарные работники, зоотехники</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в хозяйствах, энзоотичных по бруцеллезу.</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Лица, работающие с живыми культурами возбудителя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бруцеллеза.</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Против сибирской язвы</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выполняющие следующие работы: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зооветработники и другие лица, профессионально занятые предубойным содержанием скота, а также убоем, снятием шкур и разделкой туш;</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сбор, хранение, транспортировка и первичная обработка сырья животного происхождения;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proofErr w:type="gramStart"/>
            <w:r w:rsidRPr="006644E5">
              <w:rPr>
                <w:rFonts w:ascii="Arial" w:eastAsia="Times New Roman" w:hAnsi="Arial" w:cs="Arial"/>
                <w:color w:val="3C3C3C"/>
                <w:sz w:val="24"/>
                <w:szCs w:val="24"/>
                <w:lang w:eastAsia="ru-RU"/>
              </w:rPr>
              <w:t>- сельскохозяйственные, гидромелиоративные, строительные, по выемке и перемещению грунта, заготовительные, промысловые, геологические, изыскательские, экспедиционные на энзоотичных по сибирской язве территориях.</w:t>
            </w:r>
            <w:proofErr w:type="gramEnd"/>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материалом, подозрительным на инфицирование возбудителем сибирской язвы.</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бешенства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С профилактической целью вакцинируют лиц, имеющих высокий риск заражения бешенством:</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"уличным" вирусом бешенства;</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ветеринарные работники; егеря, охотники, лесники;</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выполняющие работы по отлову и содержанию животных.</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лептоспироза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выполняющие следующие работы: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заготовке, хранению, обработке сырья и продуктов животноводства, полученных из хозяйств, расположенных на энзоотичных по лептоспирозу территориях;</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убою скота, больного лептоспирозом, заготовке и переработке мяса и мясопродуктов, полученных от больных лептоспирозом животных;</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отлову и содержанию безнадзорных животных.</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возбудителя лептоспироза.</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Против клещевого вирусного энцефалита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проживающие на эндемичных по клещевому вирусному энцефалиту территориях; лица, выезжающие на эндемичные по клещевому вирусному энцефалиту территории, а также прибывшие на эти территории лица, выполняющие следующие работы: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proofErr w:type="gramStart"/>
            <w:r w:rsidRPr="006644E5">
              <w:rPr>
                <w:rFonts w:ascii="Arial" w:eastAsia="Times New Roman" w:hAnsi="Arial" w:cs="Arial"/>
                <w:color w:val="3C3C3C"/>
                <w:sz w:val="24"/>
                <w:szCs w:val="24"/>
                <w:lang w:eastAsia="ru-RU"/>
              </w:rPr>
              <w:t>- сельскохозяйственные, гидромелиоративные, строительные, по выемке и перемещению грунта, заготовительные, промысловые, геологические, изыскательские, экспедиционные, дератизационные и дезинсекционные;</w:t>
            </w:r>
            <w:proofErr w:type="gramEnd"/>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по лесозаготовке, расчистке и благоустройству леса, зон оздоровления и отдыха населения.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возбудителя клещевого энцефалита.</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лихорадки Ку</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выполняющие работы по заготовке, хранению, обработке сырья и продуктов животноводства, полученных из хозяйств, где регистрируются заболевания лихорадкой Ку.</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выполняющие работы по заготовке, хранению и переработке сельскохозяйственной продукции на энзоотичных территориях по лихорадке Ку.</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возбудителей лихорадки Ку.</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желтой лихорадки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выезжающие за пределы Российской Федерации в энзоотичные по желтой лихорадке страны (регионы).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возбудителя желтой лихорадки.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холеры</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выезжающие в неблагополучные по холере страны (регионы).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Население субъектов Российской Федерации в случае осложнения санитарно-эпидемиологической обстановки по холере в сопредельных странах, а также на территории Российской Федерации.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Против брюшного тифа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занятые в сфере коммунального благоустройства (работники, обслуживающие канализационные сети, сооружения и оборудование, а также организаций, осуществляющих санитарную очистку населенных мест, сбор, транспортировку и утилизацию бытовых отходов).</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живыми культурами возбудителей брюшного тифа.</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Население, проживающее на территориях с хроническими водными эпидемиями брюшного тифа.</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выезжающие в гиперэндемичные по брюшному тифу страны (регионы).</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Контактные лица в очагах брюшного тифа по эпидемическим показаниям.</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По эпидемическим показаниям прививки проводят при угрозе возникновения эпидемии или вспышки (стихийные бедствия, крупные аварии на водопроводной и канализационной сети), а также в период эпидемии, при этом в угрожаемом регионе проводят массовую вакцинацию населения.</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вирусного гепатита</w:t>
            </w:r>
            <w:proofErr w:type="gramStart"/>
            <w:r w:rsidRPr="006644E5">
              <w:rPr>
                <w:rFonts w:ascii="Arial" w:eastAsia="Times New Roman" w:hAnsi="Arial" w:cs="Arial"/>
                <w:color w:val="3C3C3C"/>
                <w:sz w:val="24"/>
                <w:szCs w:val="24"/>
                <w:lang w:eastAsia="ru-RU"/>
              </w:rPr>
              <w:t xml:space="preserve"> А</w:t>
            </w:r>
            <w:proofErr w:type="gramEnd"/>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проживающие в регионах, неблагополучных по заболеваемости гепатитом</w:t>
            </w:r>
            <w:proofErr w:type="gramStart"/>
            <w:r w:rsidRPr="006644E5">
              <w:rPr>
                <w:rFonts w:ascii="Arial" w:eastAsia="Times New Roman" w:hAnsi="Arial" w:cs="Arial"/>
                <w:color w:val="3C3C3C"/>
                <w:sz w:val="24"/>
                <w:szCs w:val="24"/>
                <w:lang w:eastAsia="ru-RU"/>
              </w:rPr>
              <w:t xml:space="preserve"> А</w:t>
            </w:r>
            <w:proofErr w:type="gramEnd"/>
            <w:r w:rsidRPr="006644E5">
              <w:rPr>
                <w:rFonts w:ascii="Arial" w:eastAsia="Times New Roman" w:hAnsi="Arial" w:cs="Arial"/>
                <w:color w:val="3C3C3C"/>
                <w:sz w:val="24"/>
                <w:szCs w:val="24"/>
                <w:lang w:eastAsia="ru-RU"/>
              </w:rPr>
              <w:t>, а также лица, подверженные профессиональному риску заражения (медицинские работники, работники сферы обслуживания населения, занятые на предприятиях пищевой промышленности, а также обслуживающие водопроводные и канализационные сооружения, оборудование и сети).</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выезжающие в неблагополучные страны (регионы), где регистрируется вспышечная заболеваемость гепатитом А. Контактные лица в очагах гепатита А.</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шигеллезов</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Работники медицинских организаций (их структурных подразделений) инфекционного профиля.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занятые в сфере общественного питания и коммунального благоустройства.</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xml:space="preserve">Дети, посещающие дошкольные образовательные организации и отъезжающие в организации, </w:t>
            </w:r>
            <w:r w:rsidRPr="006644E5">
              <w:rPr>
                <w:rFonts w:ascii="Arial" w:eastAsia="Times New Roman" w:hAnsi="Arial" w:cs="Arial"/>
                <w:color w:val="3C3C3C"/>
                <w:sz w:val="24"/>
                <w:szCs w:val="24"/>
                <w:lang w:eastAsia="ru-RU"/>
              </w:rPr>
              <w:lastRenderedPageBreak/>
              <w:t>осуществляющие лечение, оздоровление и (или) отдых (по показаниям).</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По эпидемическим показаниям прививки проводятся при угрозе возникновения эпидемии или вспышки (стихийные бедствия, крупные аварии на водопроводной и канализационной сети), а также в период эпидемии, при этом в угрожаемом регионе проводят массовую вакцинацию населения.</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Профилактические прививки предпочтительно проводить перед сезонным подъемом заболеваемости шигеллезами.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Против</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менингококковой инфекции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Дети и взрослые в очагах менингококковой инфекции, вызванной менингококками серогрупп</w:t>
            </w:r>
            <w:proofErr w:type="gramStart"/>
            <w:r w:rsidRPr="006644E5">
              <w:rPr>
                <w:rFonts w:ascii="Arial" w:eastAsia="Times New Roman" w:hAnsi="Arial" w:cs="Arial"/>
                <w:color w:val="3C3C3C"/>
                <w:sz w:val="24"/>
                <w:szCs w:val="24"/>
                <w:lang w:eastAsia="ru-RU"/>
              </w:rPr>
              <w:t xml:space="preserve"> А</w:t>
            </w:r>
            <w:proofErr w:type="gramEnd"/>
            <w:r w:rsidRPr="006644E5">
              <w:rPr>
                <w:rFonts w:ascii="Arial" w:eastAsia="Times New Roman" w:hAnsi="Arial" w:cs="Arial"/>
                <w:color w:val="3C3C3C"/>
                <w:sz w:val="24"/>
                <w:szCs w:val="24"/>
                <w:lang w:eastAsia="ru-RU"/>
              </w:rPr>
              <w:t xml:space="preserve"> или С.</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Вакцинация проводится в эндемичных регионах, а также в случае эпидемии, вызванной менингококками серогрупп</w:t>
            </w:r>
            <w:proofErr w:type="gramStart"/>
            <w:r w:rsidRPr="006644E5">
              <w:rPr>
                <w:rFonts w:ascii="Arial" w:eastAsia="Times New Roman" w:hAnsi="Arial" w:cs="Arial"/>
                <w:color w:val="3C3C3C"/>
                <w:sz w:val="24"/>
                <w:szCs w:val="24"/>
                <w:lang w:eastAsia="ru-RU"/>
              </w:rPr>
              <w:t xml:space="preserve"> А</w:t>
            </w:r>
            <w:proofErr w:type="gramEnd"/>
            <w:r w:rsidRPr="006644E5">
              <w:rPr>
                <w:rFonts w:ascii="Arial" w:eastAsia="Times New Roman" w:hAnsi="Arial" w:cs="Arial"/>
                <w:color w:val="3C3C3C"/>
                <w:sz w:val="24"/>
                <w:szCs w:val="24"/>
                <w:lang w:eastAsia="ru-RU"/>
              </w:rPr>
              <w:t xml:space="preserve"> или С.</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подлежащие призыву на военную службу.</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кори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Контактные лица без ограничения возраста из очагов заболевания, ранее не болевшие, не привитые и не имеющие сведений о профилактических прививках против кори или однократно привитые.</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вирусного гепатита</w:t>
            </w:r>
            <w:proofErr w:type="gramStart"/>
            <w:r w:rsidRPr="006644E5">
              <w:rPr>
                <w:rFonts w:ascii="Arial" w:eastAsia="Times New Roman" w:hAnsi="Arial" w:cs="Arial"/>
                <w:color w:val="3C3C3C"/>
                <w:sz w:val="24"/>
                <w:szCs w:val="24"/>
                <w:lang w:eastAsia="ru-RU"/>
              </w:rPr>
              <w:t xml:space="preserve"> В</w:t>
            </w:r>
            <w:proofErr w:type="gramEnd"/>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Контактные лица из очагов заболевания, не болевшие, не привитые и не имеющие сведений о профилактических прививках против вирусного гепатита В.</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дифтерии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Контактные лица из очагов заболевания, не болевшие, не привитые и не имеющие сведений о профилактических прививках против дифтерии.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эпидемического паротита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Контактные лица из очагов заболевания, не болевшие, не привитые и не имеющие сведений о профилактических прививках против эпидемического паротита.</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Против полиомиелита</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xml:space="preserve">Контактные лица в очагах полиомиелита, в том числе вызванного </w:t>
            </w:r>
            <w:proofErr w:type="gramStart"/>
            <w:r w:rsidRPr="006644E5">
              <w:rPr>
                <w:rFonts w:ascii="Arial" w:eastAsia="Times New Roman" w:hAnsi="Arial" w:cs="Arial"/>
                <w:color w:val="3C3C3C"/>
                <w:sz w:val="24"/>
                <w:szCs w:val="24"/>
                <w:lang w:eastAsia="ru-RU"/>
              </w:rPr>
              <w:t>диким</w:t>
            </w:r>
            <w:proofErr w:type="gramEnd"/>
            <w:r w:rsidRPr="006644E5">
              <w:rPr>
                <w:rFonts w:ascii="Arial" w:eastAsia="Times New Roman" w:hAnsi="Arial" w:cs="Arial"/>
                <w:color w:val="3C3C3C"/>
                <w:sz w:val="24"/>
                <w:szCs w:val="24"/>
                <w:lang w:eastAsia="ru-RU"/>
              </w:rPr>
              <w:t xml:space="preserve"> полиовирусом (или при подозрении на заболевание):</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дети с 3 месяцев до 18 лет - однократно;</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медицинские работники - однократно;</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дети, прибывшие из эндемичных (неблагополучных) по полиомиелиту стран (регионов), с 3 месяцев до 15 лет - однократно (при наличии достоверных данных о предшествующих прививках) или трехкратно (при их отсутствии);</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xml:space="preserve">- лица без определенного места жительства (при их выявлении) с 3 месяцев до 15 лет - однократно (при наличии достоверных данных о предшествующих прививках) или трехкратно (при их отсутствии); лица, контактировавшие с </w:t>
            </w:r>
            <w:proofErr w:type="gramStart"/>
            <w:r w:rsidRPr="006644E5">
              <w:rPr>
                <w:rFonts w:ascii="Arial" w:eastAsia="Times New Roman" w:hAnsi="Arial" w:cs="Arial"/>
                <w:color w:val="3C3C3C"/>
                <w:sz w:val="24"/>
                <w:szCs w:val="24"/>
                <w:lang w:eastAsia="ru-RU"/>
              </w:rPr>
              <w:t>прибывшими</w:t>
            </w:r>
            <w:proofErr w:type="gramEnd"/>
            <w:r w:rsidRPr="006644E5">
              <w:rPr>
                <w:rFonts w:ascii="Arial" w:eastAsia="Times New Roman" w:hAnsi="Arial" w:cs="Arial"/>
                <w:color w:val="3C3C3C"/>
                <w:sz w:val="24"/>
                <w:szCs w:val="24"/>
                <w:lang w:eastAsia="ru-RU"/>
              </w:rPr>
              <w:t xml:space="preserve"> из эндемичных (неблагополучных) по полиомиелиту стран (регионов), с 3 месяцев жизни без ограничения возраста - однократно;</w:t>
            </w:r>
          </w:p>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лица, работающие с живым полиовирусом, с материалами, инфицированными (потенциально инфицированными) диким вирусом полиомиелита без ограничения возраста, - однократно при приеме на работу.</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пневмококковой инфекции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Дети в возрасте от 2 до 5 лет, взрослые из групп риска, включая лиц, подлежащих призыву на военную службу, а также лиц старше 60 лет, страдающих хроническими заболеваниями легких.</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ротавирусной инфекции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Дети для активной вакцинации с целью профилактики заболеваний, вызываемых ротавирусами.</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ветряной оспы</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Дети и взрослые из групп риска, включая лиц, подлежащих призыву на военную службу, ранее не привитые и не болевшие ветряной оспой.</w:t>
            </w:r>
          </w:p>
        </w:tc>
      </w:tr>
      <w:tr w:rsidR="006644E5" w:rsidRPr="006644E5" w:rsidTr="006644E5">
        <w:trPr>
          <w:jc w:val="center"/>
        </w:trPr>
        <w:tc>
          <w:tcPr>
            <w:tcW w:w="286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Против гемофильной инфекции</w:t>
            </w:r>
          </w:p>
        </w:tc>
        <w:tc>
          <w:tcPr>
            <w:tcW w:w="6045" w:type="dxa"/>
            <w:tcBorders>
              <w:top w:val="outset" w:sz="6" w:space="0" w:color="auto"/>
              <w:left w:val="outset" w:sz="6" w:space="0" w:color="auto"/>
              <w:bottom w:val="outset" w:sz="6" w:space="0" w:color="auto"/>
              <w:right w:val="outset" w:sz="6" w:space="0" w:color="auto"/>
            </w:tcBorders>
            <w:shd w:val="clear" w:color="auto" w:fill="FFFFFF"/>
            <w:hideMark/>
          </w:tcPr>
          <w:p w:rsidR="006644E5" w:rsidRPr="006644E5" w:rsidRDefault="006644E5" w:rsidP="006644E5">
            <w:pPr>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Дети, не привитые на первом году жизни против гемофильной инфекции.</w:t>
            </w:r>
          </w:p>
        </w:tc>
      </w:tr>
    </w:tbl>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p>
    <w:p w:rsidR="006644E5" w:rsidRPr="006644E5" w:rsidRDefault="006644E5" w:rsidP="006644E5">
      <w:pPr>
        <w:shd w:val="clear" w:color="auto" w:fill="FFFFFF"/>
        <w:spacing w:before="240" w:after="240" w:line="270" w:lineRule="atLeast"/>
        <w:jc w:val="center"/>
        <w:rPr>
          <w:rFonts w:ascii="Arial" w:eastAsia="Times New Roman" w:hAnsi="Arial" w:cs="Arial"/>
          <w:color w:val="3C3C3C"/>
          <w:sz w:val="24"/>
          <w:szCs w:val="24"/>
          <w:lang w:eastAsia="ru-RU"/>
        </w:rPr>
      </w:pPr>
      <w:r w:rsidRPr="006644E5">
        <w:rPr>
          <w:rFonts w:ascii="Arial" w:eastAsia="Times New Roman" w:hAnsi="Arial" w:cs="Arial"/>
          <w:b/>
          <w:bCs/>
          <w:color w:val="3C3C3C"/>
          <w:sz w:val="24"/>
          <w:szCs w:val="24"/>
          <w:lang w:eastAsia="ru-RU"/>
        </w:rPr>
        <w:t>Порядок проведения гражданам профилактических прививок в рамках календаря профилактических прививок по эпидемическим показаниям</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1. Профилактические прививки в рамках календаря профилактических прививок по эпидемическим показаниям проводятся гражданам в медицинских организациях при наличии у таких организаций лицензии, предусматривающей выполнение работ (услуг) по вакцинации (проведению профилактических прививок).</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xml:space="preserve">2. Вакцинацию осуществляют медицинские работники, прошедшие </w:t>
      </w:r>
      <w:proofErr w:type="gramStart"/>
      <w:r w:rsidRPr="006644E5">
        <w:rPr>
          <w:rFonts w:ascii="Arial" w:eastAsia="Times New Roman" w:hAnsi="Arial" w:cs="Arial"/>
          <w:color w:val="3C3C3C"/>
          <w:sz w:val="24"/>
          <w:szCs w:val="24"/>
          <w:lang w:eastAsia="ru-RU"/>
        </w:rPr>
        <w:t>обучение по вопросам</w:t>
      </w:r>
      <w:proofErr w:type="gramEnd"/>
      <w:r w:rsidRPr="006644E5">
        <w:rPr>
          <w:rFonts w:ascii="Arial" w:eastAsia="Times New Roman" w:hAnsi="Arial" w:cs="Arial"/>
          <w:color w:val="3C3C3C"/>
          <w:sz w:val="24"/>
          <w:szCs w:val="24"/>
          <w:lang w:eastAsia="ru-RU"/>
        </w:rPr>
        <w:t xml:space="preserve"> применения иммунобиологических лекарственных препаратов для иммунопрофилактики инфекционных болезней, организации проведения вакцинации, техники проведения вакцинации, а также по вопросам оказания медицинской помощи в экстренной или неотложной форме.</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3. Вакцинация и ревакцинация в рамках календаря профилактических прививок по эпидемическим показаниям проводится иммунобиологическими лекарственными препаратами для иммунопрофилактики инфекционных болезней, зарегистрированными в соответствии с законодательством Российской Федерации, согласно инструкциям по их применению.</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4. Перед проведением профилактической прививки лицу, подлежащему вакцинации, или его законному представителю разъясняется необходимость иммунопрофилактики инфекционных болезней, возможные поствакцинальные реакции и осложнения, а также последствия отказа от проведения профилактической прививки и оформляется информированное добровольное согласие на медицинское вмешательство в соответствии с требованиями </w:t>
      </w:r>
      <w:hyperlink r:id="rId5" w:history="1">
        <w:r w:rsidRPr="006644E5">
          <w:rPr>
            <w:rFonts w:ascii="Arial" w:eastAsia="Times New Roman" w:hAnsi="Arial" w:cs="Arial"/>
            <w:color w:val="DA251D"/>
            <w:sz w:val="24"/>
            <w:szCs w:val="24"/>
            <w:lang w:eastAsia="ru-RU"/>
          </w:rPr>
          <w:t>статьи 20</w:t>
        </w:r>
      </w:hyperlink>
      <w:r w:rsidRPr="006644E5">
        <w:rPr>
          <w:rFonts w:ascii="Arial" w:eastAsia="Times New Roman" w:hAnsi="Arial" w:cs="Arial"/>
          <w:color w:val="3C3C3C"/>
          <w:sz w:val="24"/>
          <w:szCs w:val="24"/>
          <w:lang w:eastAsia="ru-RU"/>
        </w:rPr>
        <w:t> Федерального закона от 21 ноября 2011г. N323-ФЗ "Об основах охраны здоровья граждан в Российской Федерации".</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5. Все лица, которым должны проводиться профилактические прививки, предварительно подвергаются осмотру врачом (фельдшером)</w:t>
      </w:r>
      <w:hyperlink r:id="rId6" w:anchor="sub_22223" w:history="1">
        <w:r w:rsidRPr="006644E5">
          <w:rPr>
            <w:rFonts w:ascii="Arial" w:eastAsia="Times New Roman" w:hAnsi="Arial" w:cs="Arial"/>
            <w:color w:val="DA251D"/>
            <w:sz w:val="24"/>
            <w:szCs w:val="24"/>
            <w:lang w:eastAsia="ru-RU"/>
          </w:rPr>
          <w:t>*</w:t>
        </w:r>
      </w:hyperlink>
      <w:r w:rsidRPr="006644E5">
        <w:rPr>
          <w:rFonts w:ascii="Arial" w:eastAsia="Times New Roman" w:hAnsi="Arial" w:cs="Arial"/>
          <w:color w:val="3C3C3C"/>
          <w:sz w:val="24"/>
          <w:szCs w:val="24"/>
          <w:lang w:eastAsia="ru-RU"/>
        </w:rPr>
        <w:t>.</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6. Допускается введение инактивированных вакцин в один день разными шприцами в разные участки тела. Интервал между прививками против разных инфекций при раздельном их проведении (не в один день) должен составлять не менее 1 месяца.</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7. Вакцинация против полиомиелита по эпидемическим показаниям проводится оральной полиомиелитной вакциной. Показаниями для проведения вакцинации детей оральной полиомиелитной вакциной по эпидемическим показаниям являются регистрация случая полиомиелита, вызванного диким полиовирусом, выделение дикого полиовируса в биопробах человека или из объектов окружающей среды. В этих случаях вакцинация проводится в соответствии с постановлением главного государственного санитарного врача субъекта Российской Федерации, которым определяется возраст детей, подлежащих вакцинации, сроки, порядок и кратность ее проведения.</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lastRenderedPageBreak/>
        <w:t>_____________________________</w:t>
      </w:r>
    </w:p>
    <w:p w:rsidR="006644E5" w:rsidRPr="006644E5" w:rsidRDefault="006644E5" w:rsidP="006644E5">
      <w:pPr>
        <w:shd w:val="clear" w:color="auto" w:fill="FFFFFF"/>
        <w:spacing w:before="240" w:after="240" w:line="270" w:lineRule="atLeast"/>
        <w:rPr>
          <w:rFonts w:ascii="Arial" w:eastAsia="Times New Roman" w:hAnsi="Arial" w:cs="Arial"/>
          <w:color w:val="3C3C3C"/>
          <w:sz w:val="24"/>
          <w:szCs w:val="24"/>
          <w:lang w:eastAsia="ru-RU"/>
        </w:rPr>
      </w:pPr>
      <w:r w:rsidRPr="006644E5">
        <w:rPr>
          <w:rFonts w:ascii="Arial" w:eastAsia="Times New Roman" w:hAnsi="Arial" w:cs="Arial"/>
          <w:color w:val="3C3C3C"/>
          <w:sz w:val="24"/>
          <w:szCs w:val="24"/>
          <w:lang w:eastAsia="ru-RU"/>
        </w:rPr>
        <w:t>* </w:t>
      </w:r>
      <w:hyperlink r:id="rId7" w:history="1">
        <w:r w:rsidRPr="006644E5">
          <w:rPr>
            <w:rFonts w:ascii="Arial" w:eastAsia="Times New Roman" w:hAnsi="Arial" w:cs="Arial"/>
            <w:color w:val="DA251D"/>
            <w:sz w:val="24"/>
            <w:szCs w:val="24"/>
            <w:lang w:eastAsia="ru-RU"/>
          </w:rPr>
          <w:t>Приказ</w:t>
        </w:r>
      </w:hyperlink>
      <w:r w:rsidRPr="006644E5">
        <w:rPr>
          <w:rFonts w:ascii="Arial" w:eastAsia="Times New Roman" w:hAnsi="Arial" w:cs="Arial"/>
          <w:color w:val="3C3C3C"/>
          <w:sz w:val="24"/>
          <w:szCs w:val="24"/>
          <w:lang w:eastAsia="ru-RU"/>
        </w:rPr>
        <w:t xml:space="preserve"> Министерства здравоохранения и социального развития Российской Федерации от 23 марта 2012г. </w:t>
      </w:r>
      <w:proofErr w:type="gramStart"/>
      <w:r w:rsidRPr="006644E5">
        <w:rPr>
          <w:rFonts w:ascii="Arial" w:eastAsia="Times New Roman" w:hAnsi="Arial" w:cs="Arial"/>
          <w:color w:val="3C3C3C"/>
          <w:sz w:val="24"/>
          <w:szCs w:val="24"/>
          <w:lang w:eastAsia="ru-RU"/>
        </w:rPr>
        <w:t>N252н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w:t>
      </w:r>
      <w:proofErr w:type="gramEnd"/>
      <w:r w:rsidRPr="006644E5">
        <w:rPr>
          <w:rFonts w:ascii="Arial" w:eastAsia="Times New Roman" w:hAnsi="Arial" w:cs="Arial"/>
          <w:color w:val="3C3C3C"/>
          <w:sz w:val="24"/>
          <w:szCs w:val="24"/>
          <w:lang w:eastAsia="ru-RU"/>
        </w:rPr>
        <w:t xml:space="preserve"> </w:t>
      </w:r>
      <w:proofErr w:type="gramStart"/>
      <w:r w:rsidRPr="006644E5">
        <w:rPr>
          <w:rFonts w:ascii="Arial" w:eastAsia="Times New Roman" w:hAnsi="Arial" w:cs="Arial"/>
          <w:color w:val="3C3C3C"/>
          <w:sz w:val="24"/>
          <w:szCs w:val="24"/>
          <w:lang w:eastAsia="ru-RU"/>
        </w:rPr>
        <w:t>Федерации 28 апреля 2012г., регистрационный номер 23971).</w:t>
      </w:r>
      <w:proofErr w:type="gramEnd"/>
    </w:p>
    <w:p w:rsidR="003C3105" w:rsidRDefault="006644E5"/>
    <w:sectPr w:rsidR="003C3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77"/>
    <w:rsid w:val="006644E5"/>
    <w:rsid w:val="00973977"/>
    <w:rsid w:val="00EE2F25"/>
    <w:rsid w:val="00FA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07058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kb2-tmn.ru/info/2017-04-21-10-34-15/373-2017-04-21-09-24-32" TargetMode="External"/><Relationship Id="rId5" Type="http://schemas.openxmlformats.org/officeDocument/2006/relationships/hyperlink" Target="garantf1://12091967.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10433</Characters>
  <Application>Microsoft Office Word</Application>
  <DocSecurity>0</DocSecurity>
  <Lines>86</Lines>
  <Paragraphs>24</Paragraphs>
  <ScaleCrop>false</ScaleCrop>
  <Company>Grizli777</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Немцов Олег Владимирович</dc:creator>
  <cp:keywords/>
  <dc:description/>
  <cp:lastModifiedBy>Немцов Олег Владимирович</cp:lastModifiedBy>
  <cp:revision>3</cp:revision>
  <dcterms:created xsi:type="dcterms:W3CDTF">2019-03-11T11:32:00Z</dcterms:created>
  <dcterms:modified xsi:type="dcterms:W3CDTF">2019-03-11T11:32:00Z</dcterms:modified>
</cp:coreProperties>
</file>